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D60" w:rsidRDefault="00C97D60" w:rsidP="00C97D60">
      <w:r>
        <w:rPr>
          <w:rFonts w:hint="eastAsia"/>
        </w:rPr>
        <w:t>科嘉</w:t>
      </w:r>
      <w:r>
        <w:rPr>
          <w:rFonts w:hint="eastAsia"/>
        </w:rPr>
        <w:t>(</w:t>
      </w:r>
      <w:r>
        <w:rPr>
          <w:rFonts w:hint="eastAsia"/>
        </w:rPr>
        <w:t>開</w:t>
      </w:r>
      <w:proofErr w:type="gramStart"/>
      <w:r>
        <w:rPr>
          <w:rFonts w:hint="eastAsia"/>
        </w:rPr>
        <w:t>曼</w:t>
      </w:r>
      <w:proofErr w:type="gramEnd"/>
      <w:r>
        <w:rPr>
          <w:rFonts w:hint="eastAsia"/>
        </w:rPr>
        <w:t>)</w:t>
      </w:r>
      <w:r>
        <w:rPr>
          <w:rFonts w:hint="eastAsia"/>
        </w:rPr>
        <w:t>股份有限公司</w:t>
      </w:r>
      <w:r>
        <w:rPr>
          <w:rFonts w:hint="eastAsia"/>
        </w:rPr>
        <w:tab/>
      </w:r>
      <w:r>
        <w:rPr>
          <w:rFonts w:hint="eastAsia"/>
        </w:rPr>
        <w:tab/>
      </w:r>
      <w:r>
        <w:rPr>
          <w:rFonts w:hint="eastAsia"/>
        </w:rPr>
        <w:tab/>
      </w:r>
      <w:r>
        <w:rPr>
          <w:rFonts w:hint="eastAsia"/>
        </w:rPr>
        <w:tab/>
      </w:r>
    </w:p>
    <w:p w:rsidR="00C97D60" w:rsidRDefault="00C97D60">
      <w:r>
        <w:rPr>
          <w:rFonts w:hint="eastAsia"/>
        </w:rPr>
        <w:t>董事會議事錄目錄</w:t>
      </w:r>
      <w:r>
        <w:rPr>
          <w:rFonts w:hint="eastAsia"/>
        </w:rPr>
        <w:tab/>
      </w:r>
      <w:r>
        <w:rPr>
          <w:rFonts w:hint="eastAsia"/>
        </w:rPr>
        <w:tab/>
      </w:r>
      <w:r>
        <w:rPr>
          <w:rFonts w:hint="eastAsia"/>
        </w:rPr>
        <w:tab/>
      </w:r>
      <w:r>
        <w:rPr>
          <w:rFonts w:hint="eastAsia"/>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76"/>
        <w:gridCol w:w="1071"/>
        <w:gridCol w:w="6129"/>
      </w:tblGrid>
      <w:tr w:rsidR="00C97D60" w:rsidRPr="002025E7" w:rsidTr="009068B6">
        <w:trPr>
          <w:trHeight w:val="368"/>
        </w:trPr>
        <w:tc>
          <w:tcPr>
            <w:tcW w:w="650" w:type="pct"/>
            <w:shd w:val="clear" w:color="auto" w:fill="F2F2F2" w:themeFill="background1" w:themeFillShade="F2"/>
            <w:noWrap/>
            <w:vAlign w:val="center"/>
            <w:hideMark/>
          </w:tcPr>
          <w:p w:rsidR="00C97D60" w:rsidRPr="002025E7" w:rsidRDefault="00C97D60" w:rsidP="009068B6">
            <w:pPr>
              <w:widowControl/>
              <w:jc w:val="center"/>
              <w:rPr>
                <w:rFonts w:ascii="Times New Roman" w:eastAsia="標楷體" w:hAnsi="Times New Roman"/>
                <w:bCs/>
                <w:kern w:val="0"/>
                <w:sz w:val="22"/>
              </w:rPr>
            </w:pPr>
            <w:r w:rsidRPr="002025E7">
              <w:rPr>
                <w:rFonts w:ascii="Times New Roman" w:eastAsia="標楷體" w:hAnsi="Times New Roman"/>
                <w:bCs/>
                <w:kern w:val="0"/>
                <w:sz w:val="22"/>
              </w:rPr>
              <w:t>日期</w:t>
            </w:r>
          </w:p>
        </w:tc>
        <w:tc>
          <w:tcPr>
            <w:tcW w:w="647" w:type="pct"/>
            <w:shd w:val="clear" w:color="auto" w:fill="F2F2F2" w:themeFill="background1" w:themeFillShade="F2"/>
            <w:noWrap/>
            <w:vAlign w:val="center"/>
            <w:hideMark/>
          </w:tcPr>
          <w:p w:rsidR="00C97D60" w:rsidRPr="002025E7" w:rsidRDefault="00C97D60" w:rsidP="009068B6">
            <w:pPr>
              <w:widowControl/>
              <w:jc w:val="center"/>
              <w:rPr>
                <w:rFonts w:ascii="Times New Roman" w:eastAsia="標楷體" w:hAnsi="Times New Roman"/>
                <w:bCs/>
                <w:kern w:val="0"/>
                <w:sz w:val="22"/>
              </w:rPr>
            </w:pPr>
            <w:r w:rsidRPr="002025E7">
              <w:rPr>
                <w:rFonts w:ascii="Times New Roman" w:eastAsia="標楷體" w:hAnsi="Times New Roman"/>
                <w:bCs/>
                <w:kern w:val="0"/>
                <w:sz w:val="22"/>
              </w:rPr>
              <w:t>類別</w:t>
            </w:r>
          </w:p>
        </w:tc>
        <w:tc>
          <w:tcPr>
            <w:tcW w:w="3703" w:type="pct"/>
            <w:shd w:val="clear" w:color="auto" w:fill="F2F2F2" w:themeFill="background1" w:themeFillShade="F2"/>
            <w:noWrap/>
            <w:vAlign w:val="center"/>
            <w:hideMark/>
          </w:tcPr>
          <w:p w:rsidR="00C97D60" w:rsidRPr="002025E7" w:rsidRDefault="00C97D60" w:rsidP="009068B6">
            <w:pPr>
              <w:widowControl/>
              <w:jc w:val="center"/>
              <w:rPr>
                <w:rFonts w:ascii="Times New Roman" w:eastAsia="標楷體" w:hAnsi="Times New Roman"/>
                <w:bCs/>
                <w:kern w:val="0"/>
                <w:sz w:val="22"/>
              </w:rPr>
            </w:pPr>
            <w:r w:rsidRPr="002025E7">
              <w:rPr>
                <w:rFonts w:ascii="Times New Roman" w:eastAsia="標楷體" w:hAnsi="Times New Roman"/>
                <w:bCs/>
                <w:kern w:val="0"/>
                <w:sz w:val="22"/>
              </w:rPr>
              <w:t>重要議案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2023.03.28</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111</w:t>
            </w:r>
            <w:proofErr w:type="gramEnd"/>
            <w:r w:rsidRPr="002025E7">
              <w:rPr>
                <w:rFonts w:ascii="Times New Roman" w:eastAsia="標楷體" w:hAnsi="Times New Roman"/>
                <w:bCs/>
                <w:kern w:val="0"/>
                <w:sz w:val="22"/>
              </w:rPr>
              <w:t>年度員工酬勞及董事酬勞案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111</w:t>
            </w:r>
            <w:proofErr w:type="gramEnd"/>
            <w:r w:rsidRPr="002025E7">
              <w:rPr>
                <w:rFonts w:ascii="Times New Roman" w:eastAsia="標楷體" w:hAnsi="Times New Roman"/>
                <w:bCs/>
                <w:kern w:val="0"/>
                <w:sz w:val="22"/>
              </w:rPr>
              <w:t>年度營業報告書、財務報表案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111</w:t>
            </w:r>
            <w:proofErr w:type="gramEnd"/>
            <w:r w:rsidRPr="002025E7">
              <w:rPr>
                <w:rFonts w:ascii="Times New Roman" w:eastAsia="標楷體" w:hAnsi="Times New Roman"/>
                <w:bCs/>
                <w:kern w:val="0"/>
                <w:sz w:val="22"/>
              </w:rPr>
              <w:t>年度盈餘分派案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通過內部控制制度有效性考核及內部控制制度聲明書案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修訂「公司章程」案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修訂「董事會議事規範」案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本公司第六屆董事十席全面改選案</w:t>
            </w:r>
            <w:r w:rsidRPr="002025E7">
              <w:rPr>
                <w:rFonts w:ascii="Times New Roman" w:eastAsia="標楷體" w:hAnsi="Times New Roman"/>
                <w:bCs/>
                <w:kern w:val="0"/>
                <w:sz w:val="22"/>
              </w:rPr>
              <w:t>(</w:t>
            </w:r>
            <w:r w:rsidRPr="002025E7">
              <w:rPr>
                <w:rFonts w:ascii="Times New Roman" w:eastAsia="標楷體" w:hAnsi="Times New Roman"/>
                <w:bCs/>
                <w:kern w:val="0"/>
                <w:sz w:val="22"/>
              </w:rPr>
              <w:t>含四席獨立董事</w:t>
            </w:r>
            <w:r w:rsidRPr="002025E7">
              <w:rPr>
                <w:rFonts w:ascii="Times New Roman" w:eastAsia="標楷體" w:hAnsi="Times New Roman"/>
                <w:bCs/>
                <w:kern w:val="0"/>
                <w:sz w:val="22"/>
              </w:rPr>
              <w:t>)</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召開</w:t>
            </w:r>
            <w:r w:rsidRPr="002025E7">
              <w:rPr>
                <w:rFonts w:ascii="Times New Roman" w:eastAsia="標楷體" w:hAnsi="Times New Roman"/>
                <w:bCs/>
                <w:kern w:val="0"/>
                <w:sz w:val="22"/>
              </w:rPr>
              <w:t>112</w:t>
            </w:r>
            <w:r w:rsidRPr="002025E7">
              <w:rPr>
                <w:rFonts w:ascii="Times New Roman" w:eastAsia="標楷體" w:hAnsi="Times New Roman"/>
                <w:bCs/>
                <w:kern w:val="0"/>
                <w:sz w:val="22"/>
              </w:rPr>
              <w:t>年股東常會案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修訂本公司組織圖案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2023.05.15</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r w:rsidRPr="002025E7">
              <w:rPr>
                <w:rFonts w:ascii="Times New Roman" w:eastAsia="標楷體" w:hAnsi="Times New Roman"/>
                <w:bCs/>
                <w:kern w:val="0"/>
                <w:sz w:val="22"/>
              </w:rPr>
              <w:t>112</w:t>
            </w:r>
            <w:r w:rsidRPr="002025E7">
              <w:rPr>
                <w:rFonts w:ascii="Times New Roman" w:eastAsia="標楷體" w:hAnsi="Times New Roman"/>
                <w:bCs/>
                <w:kern w:val="0"/>
                <w:sz w:val="22"/>
              </w:rPr>
              <w:t>年第一季財務報表案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擬定本公司董事</w:t>
            </w:r>
            <w:proofErr w:type="gramStart"/>
            <w:r w:rsidRPr="002025E7">
              <w:rPr>
                <w:rFonts w:ascii="Times New Roman" w:eastAsia="標楷體" w:hAnsi="Times New Roman"/>
                <w:bCs/>
                <w:kern w:val="0"/>
                <w:sz w:val="22"/>
              </w:rPr>
              <w:t>薪酬案</w:t>
            </w:r>
            <w:proofErr w:type="gramEnd"/>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提名及決議</w:t>
            </w:r>
            <w:r w:rsidRPr="002025E7">
              <w:rPr>
                <w:rFonts w:ascii="Times New Roman" w:eastAsia="標楷體" w:hAnsi="Times New Roman"/>
                <w:bCs/>
                <w:kern w:val="0"/>
                <w:sz w:val="22"/>
              </w:rPr>
              <w:t>6</w:t>
            </w:r>
            <w:r w:rsidRPr="002025E7">
              <w:rPr>
                <w:rFonts w:ascii="Times New Roman" w:eastAsia="標楷體" w:hAnsi="Times New Roman"/>
                <w:bCs/>
                <w:kern w:val="0"/>
                <w:sz w:val="22"/>
              </w:rPr>
              <w:t>席董事候選人及</w:t>
            </w:r>
            <w:r w:rsidRPr="002025E7">
              <w:rPr>
                <w:rFonts w:ascii="Times New Roman" w:eastAsia="標楷體" w:hAnsi="Times New Roman"/>
                <w:bCs/>
                <w:kern w:val="0"/>
                <w:sz w:val="22"/>
              </w:rPr>
              <w:t>4</w:t>
            </w:r>
            <w:r w:rsidRPr="002025E7">
              <w:rPr>
                <w:rFonts w:ascii="Times New Roman" w:eastAsia="標楷體" w:hAnsi="Times New Roman"/>
                <w:bCs/>
                <w:kern w:val="0"/>
                <w:sz w:val="22"/>
              </w:rPr>
              <w:t>席獨立董事候選人案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解除本公司第六屆董事競業禁止案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公司治理主管委任案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通過大陸子公司間資金貸與案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通過大陸子公司間背書保證案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2023.06.27</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推舉董事長與副董事長案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薪資報酬委員委任案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2023.07.25</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修正海外子公司間資金貸與利率案</w:t>
            </w:r>
          </w:p>
        </w:tc>
      </w:tr>
      <w:tr w:rsidR="00C97D60" w:rsidRPr="002025E7" w:rsidTr="009068B6">
        <w:trPr>
          <w:trHeight w:val="277"/>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討論董事及經理人薪資報酬暨一一一年董事及員工酬勞金額分配案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2023.08.24</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r w:rsidRPr="002025E7">
              <w:rPr>
                <w:rFonts w:ascii="Times New Roman" w:eastAsia="標楷體" w:hAnsi="Times New Roman"/>
                <w:bCs/>
                <w:kern w:val="0"/>
                <w:sz w:val="22"/>
              </w:rPr>
              <w:t>112</w:t>
            </w:r>
            <w:r w:rsidRPr="002025E7">
              <w:rPr>
                <w:rFonts w:ascii="Times New Roman" w:eastAsia="標楷體" w:hAnsi="Times New Roman"/>
                <w:bCs/>
                <w:kern w:val="0"/>
                <w:sz w:val="22"/>
              </w:rPr>
              <w:t>年第二季財務報表案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提議通過本公司及其台灣分公司向台灣新光商業銀行融資案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通過本公司及本公司之台灣分公司向中國信託商業銀行融資案</w:t>
            </w:r>
          </w:p>
        </w:tc>
      </w:tr>
      <w:tr w:rsidR="00C97D60" w:rsidRPr="002025E7" w:rsidTr="009068B6">
        <w:trPr>
          <w:trHeight w:val="968"/>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通過本公司、本公司之台灣分公司及蘇州嘉皇電子有限公司與台灣花旗銀行</w:t>
            </w:r>
            <w:r w:rsidRPr="002025E7">
              <w:rPr>
                <w:rFonts w:ascii="Times New Roman" w:eastAsia="標楷體" w:hAnsi="Times New Roman"/>
                <w:bCs/>
                <w:kern w:val="0"/>
                <w:sz w:val="22"/>
              </w:rPr>
              <w:t>(</w:t>
            </w:r>
            <w:r w:rsidRPr="002025E7">
              <w:rPr>
                <w:rFonts w:ascii="Times New Roman" w:eastAsia="標楷體" w:hAnsi="Times New Roman"/>
                <w:bCs/>
                <w:kern w:val="0"/>
                <w:sz w:val="22"/>
              </w:rPr>
              <w:t>以下簡稱</w:t>
            </w:r>
            <w:r w:rsidRPr="002025E7">
              <w:rPr>
                <w:rFonts w:ascii="Times New Roman" w:eastAsia="標楷體" w:hAnsi="Times New Roman"/>
                <w:bCs/>
                <w:kern w:val="0"/>
                <w:sz w:val="22"/>
              </w:rPr>
              <w:t>“</w:t>
            </w:r>
            <w:r w:rsidRPr="002025E7">
              <w:rPr>
                <w:rFonts w:ascii="Times New Roman" w:eastAsia="標楷體" w:hAnsi="Times New Roman"/>
                <w:bCs/>
                <w:kern w:val="0"/>
                <w:sz w:val="22"/>
              </w:rPr>
              <w:t>台灣花旗</w:t>
            </w:r>
            <w:r w:rsidRPr="002025E7">
              <w:rPr>
                <w:rFonts w:ascii="Times New Roman" w:eastAsia="標楷體" w:hAnsi="Times New Roman"/>
                <w:bCs/>
                <w:kern w:val="0"/>
                <w:sz w:val="22"/>
              </w:rPr>
              <w:t>”)</w:t>
            </w:r>
            <w:r w:rsidRPr="002025E7">
              <w:rPr>
                <w:rFonts w:ascii="Times New Roman" w:eastAsia="標楷體" w:hAnsi="Times New Roman"/>
                <w:bCs/>
                <w:kern w:val="0"/>
                <w:sz w:val="22"/>
              </w:rPr>
              <w:t>與花旗銀行（中國）有限公司</w:t>
            </w:r>
            <w:r w:rsidRPr="002025E7">
              <w:rPr>
                <w:rFonts w:ascii="Times New Roman" w:eastAsia="標楷體" w:hAnsi="Times New Roman"/>
                <w:bCs/>
                <w:kern w:val="0"/>
                <w:sz w:val="22"/>
              </w:rPr>
              <w:t>(</w:t>
            </w:r>
            <w:r w:rsidRPr="002025E7">
              <w:rPr>
                <w:rFonts w:ascii="Times New Roman" w:eastAsia="標楷體" w:hAnsi="Times New Roman"/>
                <w:bCs/>
                <w:kern w:val="0"/>
                <w:sz w:val="22"/>
              </w:rPr>
              <w:t>以下簡稱</w:t>
            </w:r>
            <w:r w:rsidRPr="002025E7">
              <w:rPr>
                <w:rFonts w:ascii="Times New Roman" w:eastAsia="標楷體" w:hAnsi="Times New Roman"/>
                <w:bCs/>
                <w:kern w:val="0"/>
                <w:sz w:val="22"/>
              </w:rPr>
              <w:t>“</w:t>
            </w:r>
            <w:r w:rsidRPr="002025E7">
              <w:rPr>
                <w:rFonts w:ascii="Times New Roman" w:eastAsia="標楷體" w:hAnsi="Times New Roman"/>
                <w:bCs/>
                <w:kern w:val="0"/>
                <w:sz w:val="22"/>
              </w:rPr>
              <w:t>中國花旗</w:t>
            </w:r>
            <w:r w:rsidRPr="002025E7">
              <w:rPr>
                <w:rFonts w:ascii="Times New Roman" w:eastAsia="標楷體" w:hAnsi="Times New Roman"/>
                <w:bCs/>
                <w:kern w:val="0"/>
                <w:sz w:val="22"/>
              </w:rPr>
              <w:t>”)</w:t>
            </w:r>
            <w:r w:rsidRPr="002025E7">
              <w:rPr>
                <w:rFonts w:ascii="Times New Roman" w:eastAsia="標楷體" w:hAnsi="Times New Roman"/>
                <w:bCs/>
                <w:kern w:val="0"/>
                <w:sz w:val="22"/>
              </w:rPr>
              <w:t>往來額度案</w:t>
            </w:r>
          </w:p>
        </w:tc>
      </w:tr>
      <w:tr w:rsidR="00C97D60" w:rsidRPr="002025E7" w:rsidTr="009068B6">
        <w:trPr>
          <w:trHeight w:val="645"/>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本公司擔任蘇州嘉皇電子有限公司向花旗銀行（中國）有限公司融資之</w:t>
            </w:r>
            <w:bookmarkStart w:id="0" w:name="_GoBack"/>
            <w:bookmarkEnd w:id="0"/>
            <w:r w:rsidRPr="002025E7">
              <w:rPr>
                <w:rFonts w:ascii="Times New Roman" w:eastAsia="標楷體" w:hAnsi="Times New Roman"/>
                <w:bCs/>
                <w:kern w:val="0"/>
                <w:sz w:val="22"/>
              </w:rPr>
              <w:t>保證人案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lastRenderedPageBreak/>
              <w:t>2023.11.02</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r w:rsidRPr="002025E7">
              <w:rPr>
                <w:rFonts w:ascii="Times New Roman" w:eastAsia="標楷體" w:hAnsi="Times New Roman"/>
                <w:bCs/>
                <w:kern w:val="0"/>
                <w:sz w:val="22"/>
              </w:rPr>
              <w:t>112</w:t>
            </w:r>
            <w:r w:rsidRPr="002025E7">
              <w:rPr>
                <w:rFonts w:ascii="Times New Roman" w:eastAsia="標楷體" w:hAnsi="Times New Roman"/>
                <w:bCs/>
                <w:kern w:val="0"/>
                <w:sz w:val="22"/>
              </w:rPr>
              <w:t>年第三季財務報表案</w:t>
            </w:r>
          </w:p>
        </w:tc>
      </w:tr>
      <w:tr w:rsidR="00C97D60" w:rsidRPr="002025E7" w:rsidTr="009068B6">
        <w:trPr>
          <w:trHeight w:val="358"/>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提議通過重慶瑞福德精細化工科技有限公司向中國銀行重慶市分行融資案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通過大陸子公司間資金貸與案</w:t>
            </w:r>
          </w:p>
        </w:tc>
      </w:tr>
      <w:tr w:rsidR="00C97D60" w:rsidRPr="002025E7" w:rsidTr="009068B6">
        <w:trPr>
          <w:trHeight w:val="645"/>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通過本公司及本公司之台灣分公司向台北富邦銀行</w:t>
            </w:r>
            <w:r w:rsidRPr="002025E7">
              <w:rPr>
                <w:rFonts w:ascii="Times New Roman" w:eastAsia="標楷體" w:hAnsi="Times New Roman"/>
                <w:bCs/>
                <w:kern w:val="0"/>
                <w:sz w:val="22"/>
              </w:rPr>
              <w:t>(</w:t>
            </w:r>
            <w:r w:rsidRPr="002025E7">
              <w:rPr>
                <w:rFonts w:ascii="Times New Roman" w:eastAsia="標楷體" w:hAnsi="Times New Roman"/>
                <w:bCs/>
                <w:kern w:val="0"/>
                <w:sz w:val="22"/>
              </w:rPr>
              <w:t>以下簡稱</w:t>
            </w:r>
            <w:r w:rsidRPr="002025E7">
              <w:rPr>
                <w:rFonts w:ascii="Times New Roman" w:eastAsia="標楷體" w:hAnsi="Times New Roman"/>
                <w:bCs/>
                <w:kern w:val="0"/>
                <w:sz w:val="22"/>
              </w:rPr>
              <w:t>“</w:t>
            </w:r>
            <w:r w:rsidRPr="002025E7">
              <w:rPr>
                <w:rFonts w:ascii="Times New Roman" w:eastAsia="標楷體" w:hAnsi="Times New Roman"/>
                <w:bCs/>
                <w:kern w:val="0"/>
                <w:sz w:val="22"/>
              </w:rPr>
              <w:t>富邦</w:t>
            </w:r>
            <w:r w:rsidRPr="002025E7">
              <w:rPr>
                <w:rFonts w:ascii="Times New Roman" w:eastAsia="標楷體" w:hAnsi="Times New Roman"/>
                <w:bCs/>
                <w:kern w:val="0"/>
                <w:sz w:val="22"/>
              </w:rPr>
              <w:t>”)</w:t>
            </w:r>
            <w:r w:rsidRPr="002025E7">
              <w:rPr>
                <w:rFonts w:ascii="Times New Roman" w:eastAsia="標楷體" w:hAnsi="Times New Roman"/>
                <w:bCs/>
                <w:kern w:val="0"/>
                <w:sz w:val="22"/>
              </w:rPr>
              <w:t>申請銀行往來額度案</w:t>
            </w:r>
          </w:p>
        </w:tc>
      </w:tr>
      <w:tr w:rsidR="00C97D60" w:rsidRPr="002025E7" w:rsidTr="009068B6">
        <w:trPr>
          <w:trHeight w:val="364"/>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擴充本公司及本公司之台灣分公司向中國信託商業銀行往來額度項目案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2023.12.11</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113</w:t>
            </w:r>
            <w:proofErr w:type="gramEnd"/>
            <w:r w:rsidRPr="002025E7">
              <w:rPr>
                <w:rFonts w:ascii="Times New Roman" w:eastAsia="標楷體" w:hAnsi="Times New Roman"/>
                <w:bCs/>
                <w:kern w:val="0"/>
                <w:sz w:val="22"/>
              </w:rPr>
              <w:t>年度營業預算案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113</w:t>
            </w:r>
            <w:proofErr w:type="gramEnd"/>
            <w:r w:rsidRPr="002025E7">
              <w:rPr>
                <w:rFonts w:ascii="Times New Roman" w:eastAsia="標楷體" w:hAnsi="Times New Roman"/>
                <w:bCs/>
                <w:kern w:val="0"/>
                <w:sz w:val="22"/>
              </w:rPr>
              <w:t>年度稽核計畫案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討論評估簽證會計師之獨立性及適任性案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擬訂定本公司預先核准非確信服務政策之一般性原則案</w:t>
            </w:r>
          </w:p>
        </w:tc>
      </w:tr>
      <w:tr w:rsidR="00C97D60" w:rsidRPr="002025E7" w:rsidTr="009068B6">
        <w:trPr>
          <w:trHeight w:val="242"/>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提議通過蘇州嘉皇電子有限公司向上海浦東發展銀行吳江支行融資案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2024</w:t>
            </w:r>
            <w:r w:rsidRPr="002025E7">
              <w:rPr>
                <w:rFonts w:ascii="Times New Roman" w:eastAsia="標楷體" w:hAnsi="Times New Roman"/>
                <w:bCs/>
                <w:kern w:val="0"/>
                <w:sz w:val="22"/>
              </w:rPr>
              <w:t>年度申報暨聲明事項案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2023</w:t>
            </w:r>
            <w:r w:rsidRPr="002025E7">
              <w:rPr>
                <w:rFonts w:ascii="Times New Roman" w:eastAsia="標楷體" w:hAnsi="Times New Roman"/>
                <w:bCs/>
                <w:kern w:val="0"/>
                <w:sz w:val="22"/>
              </w:rPr>
              <w:t>年度經濟實質聲明案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2024.01.25</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設立泰國子公司案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2024.03.07</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112</w:t>
            </w:r>
            <w:proofErr w:type="gramEnd"/>
            <w:r w:rsidRPr="002025E7">
              <w:rPr>
                <w:rFonts w:ascii="Times New Roman" w:eastAsia="標楷體" w:hAnsi="Times New Roman"/>
                <w:bCs/>
                <w:kern w:val="0"/>
                <w:sz w:val="22"/>
              </w:rPr>
              <w:t>年度員工酬勞及董事酬勞案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112</w:t>
            </w:r>
            <w:proofErr w:type="gramEnd"/>
            <w:r w:rsidRPr="002025E7">
              <w:rPr>
                <w:rFonts w:ascii="Times New Roman" w:eastAsia="標楷體" w:hAnsi="Times New Roman"/>
                <w:bCs/>
                <w:kern w:val="0"/>
                <w:sz w:val="22"/>
              </w:rPr>
              <w:t>年度營業報告書、財務報表案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proofErr w:type="gramStart"/>
            <w:r w:rsidRPr="002025E7">
              <w:rPr>
                <w:rFonts w:ascii="Times New Roman" w:eastAsia="標楷體" w:hAnsi="Times New Roman"/>
                <w:bCs/>
                <w:kern w:val="0"/>
                <w:sz w:val="22"/>
              </w:rPr>
              <w:t>112</w:t>
            </w:r>
            <w:proofErr w:type="gramEnd"/>
            <w:r w:rsidRPr="002025E7">
              <w:rPr>
                <w:rFonts w:ascii="Times New Roman" w:eastAsia="標楷體" w:hAnsi="Times New Roman"/>
                <w:bCs/>
                <w:kern w:val="0"/>
                <w:sz w:val="22"/>
              </w:rPr>
              <w:t>年度盈餘分派案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通過內部控制制度有效性考核及內部控制制度聲明書案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召開</w:t>
            </w:r>
            <w:r w:rsidRPr="002025E7">
              <w:rPr>
                <w:rFonts w:ascii="Times New Roman" w:eastAsia="標楷體" w:hAnsi="Times New Roman"/>
                <w:bCs/>
                <w:kern w:val="0"/>
                <w:sz w:val="22"/>
              </w:rPr>
              <w:t>113</w:t>
            </w:r>
            <w:r w:rsidRPr="002025E7">
              <w:rPr>
                <w:rFonts w:ascii="Times New Roman" w:eastAsia="標楷體" w:hAnsi="Times New Roman"/>
                <w:bCs/>
                <w:kern w:val="0"/>
                <w:sz w:val="22"/>
              </w:rPr>
              <w:t>年股東常會案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proofErr w:type="gramStart"/>
            <w:r w:rsidRPr="002025E7">
              <w:rPr>
                <w:rFonts w:ascii="Times New Roman" w:eastAsia="標楷體" w:hAnsi="Times New Roman"/>
                <w:bCs/>
                <w:kern w:val="0"/>
                <w:sz w:val="22"/>
              </w:rPr>
              <w:t>取得百宏光學</w:t>
            </w:r>
            <w:proofErr w:type="gramEnd"/>
            <w:r w:rsidRPr="002025E7">
              <w:rPr>
                <w:rFonts w:ascii="Times New Roman" w:eastAsia="標楷體" w:hAnsi="Times New Roman"/>
                <w:bCs/>
                <w:kern w:val="0"/>
                <w:sz w:val="22"/>
              </w:rPr>
              <w:t>科技</w:t>
            </w:r>
            <w:r w:rsidRPr="002025E7">
              <w:rPr>
                <w:rFonts w:ascii="Times New Roman" w:eastAsia="標楷體" w:hAnsi="Times New Roman"/>
                <w:bCs/>
                <w:kern w:val="0"/>
                <w:sz w:val="22"/>
              </w:rPr>
              <w:t>(</w:t>
            </w:r>
            <w:r w:rsidRPr="002025E7">
              <w:rPr>
                <w:rFonts w:ascii="Times New Roman" w:eastAsia="標楷體" w:hAnsi="Times New Roman"/>
                <w:bCs/>
                <w:kern w:val="0"/>
                <w:sz w:val="22"/>
              </w:rPr>
              <w:t>蘇州</w:t>
            </w:r>
            <w:r w:rsidRPr="002025E7">
              <w:rPr>
                <w:rFonts w:ascii="Times New Roman" w:eastAsia="標楷體" w:hAnsi="Times New Roman"/>
                <w:bCs/>
                <w:kern w:val="0"/>
                <w:sz w:val="22"/>
              </w:rPr>
              <w:t>)</w:t>
            </w:r>
            <w:r w:rsidRPr="002025E7">
              <w:rPr>
                <w:rFonts w:ascii="Times New Roman" w:eastAsia="標楷體" w:hAnsi="Times New Roman"/>
                <w:bCs/>
                <w:kern w:val="0"/>
                <w:sz w:val="22"/>
              </w:rPr>
              <w:t>有限公司股權案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整</w:t>
            </w:r>
            <w:proofErr w:type="gramStart"/>
            <w:r w:rsidRPr="002025E7">
              <w:rPr>
                <w:rFonts w:ascii="Times New Roman" w:eastAsia="標楷體" w:hAnsi="Times New Roman"/>
                <w:bCs/>
                <w:kern w:val="0"/>
                <w:sz w:val="22"/>
              </w:rPr>
              <w:t>併</w:t>
            </w:r>
            <w:proofErr w:type="gramEnd"/>
            <w:r w:rsidRPr="002025E7">
              <w:rPr>
                <w:rFonts w:ascii="Times New Roman" w:eastAsia="標楷體" w:hAnsi="Times New Roman"/>
                <w:bCs/>
                <w:kern w:val="0"/>
                <w:sz w:val="22"/>
              </w:rPr>
              <w:t>蘇州艾普來應用材料有限公司股權案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通過大陸子公司東</w:t>
            </w:r>
            <w:proofErr w:type="gramStart"/>
            <w:r w:rsidRPr="002025E7">
              <w:rPr>
                <w:rFonts w:ascii="Times New Roman" w:eastAsia="標楷體" w:hAnsi="Times New Roman"/>
                <w:bCs/>
                <w:kern w:val="0"/>
                <w:sz w:val="22"/>
              </w:rPr>
              <w:t>莞百景</w:t>
            </w:r>
            <w:proofErr w:type="gramEnd"/>
            <w:r w:rsidRPr="002025E7">
              <w:rPr>
                <w:rFonts w:ascii="Times New Roman" w:eastAsia="標楷體" w:hAnsi="Times New Roman"/>
                <w:bCs/>
                <w:kern w:val="0"/>
                <w:sz w:val="22"/>
              </w:rPr>
              <w:t>電子有限公司停止營運及解散清算案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大陸子公司蘇州嘉吉電子有限公司遷移生產據點案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通過嘉</w:t>
            </w:r>
            <w:proofErr w:type="gramStart"/>
            <w:r w:rsidRPr="002025E7">
              <w:rPr>
                <w:rFonts w:ascii="Times New Roman" w:eastAsia="標楷體" w:hAnsi="Times New Roman"/>
                <w:bCs/>
                <w:kern w:val="0"/>
                <w:sz w:val="22"/>
              </w:rPr>
              <w:t>璟</w:t>
            </w:r>
            <w:proofErr w:type="gramEnd"/>
            <w:r w:rsidRPr="002025E7">
              <w:rPr>
                <w:rFonts w:ascii="Times New Roman" w:eastAsia="標楷體" w:hAnsi="Times New Roman"/>
                <w:bCs/>
                <w:kern w:val="0"/>
                <w:sz w:val="22"/>
              </w:rPr>
              <w:t>投資股份有限公司銀行融資額度案</w:t>
            </w:r>
          </w:p>
        </w:tc>
      </w:tr>
      <w:tr w:rsidR="00C97D60" w:rsidRPr="002025E7" w:rsidTr="009068B6">
        <w:trPr>
          <w:trHeight w:val="323"/>
        </w:trPr>
        <w:tc>
          <w:tcPr>
            <w:tcW w:w="650" w:type="pct"/>
            <w:vMerge w:val="restart"/>
            <w:shd w:val="clear" w:color="auto" w:fill="auto"/>
            <w:noWrap/>
            <w:hideMark/>
          </w:tcPr>
          <w:p w:rsidR="00C97D60" w:rsidRPr="002025E7" w:rsidRDefault="00C97D60" w:rsidP="009068B6">
            <w:pPr>
              <w:widowControl/>
              <w:jc w:val="center"/>
              <w:rPr>
                <w:rFonts w:ascii="Times New Roman" w:eastAsia="標楷體" w:hAnsi="Times New Roman"/>
                <w:kern w:val="0"/>
                <w:sz w:val="22"/>
              </w:rPr>
            </w:pPr>
            <w:r w:rsidRPr="002025E7">
              <w:rPr>
                <w:rFonts w:ascii="Times New Roman" w:eastAsia="標楷體" w:hAnsi="Times New Roman"/>
                <w:kern w:val="0"/>
                <w:sz w:val="22"/>
              </w:rPr>
              <w:t>2024.05.09</w:t>
            </w: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前次會議保留之討論事項：無</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w:t>
            </w:r>
            <w:r w:rsidRPr="002025E7">
              <w:rPr>
                <w:rFonts w:ascii="Times New Roman" w:eastAsia="標楷體" w:hAnsi="Times New Roman"/>
                <w:bCs/>
                <w:kern w:val="0"/>
                <w:sz w:val="22"/>
              </w:rPr>
              <w:t>113</w:t>
            </w:r>
            <w:r w:rsidRPr="002025E7">
              <w:rPr>
                <w:rFonts w:ascii="Times New Roman" w:eastAsia="標楷體" w:hAnsi="Times New Roman"/>
                <w:bCs/>
                <w:kern w:val="0"/>
                <w:sz w:val="22"/>
              </w:rPr>
              <w:t>年第一季財務報表案</w:t>
            </w:r>
          </w:p>
        </w:tc>
      </w:tr>
      <w:tr w:rsidR="00C97D60" w:rsidRPr="002025E7" w:rsidTr="009068B6">
        <w:trPr>
          <w:trHeight w:val="645"/>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通過百傑電子科技股份有限公司共用本公司銀行融資額度並由本公司擔任保證人案</w:t>
            </w:r>
          </w:p>
        </w:tc>
      </w:tr>
      <w:tr w:rsidR="00C97D60" w:rsidRPr="002025E7" w:rsidTr="009068B6">
        <w:trPr>
          <w:trHeight w:val="323"/>
        </w:trPr>
        <w:tc>
          <w:tcPr>
            <w:tcW w:w="650" w:type="pct"/>
            <w:vMerge/>
            <w:vAlign w:val="center"/>
            <w:hideMark/>
          </w:tcPr>
          <w:p w:rsidR="00C97D60" w:rsidRPr="002025E7" w:rsidRDefault="00C97D60" w:rsidP="009068B6">
            <w:pPr>
              <w:widowControl/>
              <w:rPr>
                <w:rFonts w:ascii="Times New Roman" w:eastAsia="標楷體" w:hAnsi="Times New Roman"/>
                <w:kern w:val="0"/>
                <w:sz w:val="22"/>
              </w:rPr>
            </w:pPr>
          </w:p>
        </w:tc>
        <w:tc>
          <w:tcPr>
            <w:tcW w:w="647" w:type="pct"/>
            <w:shd w:val="clear" w:color="auto" w:fill="auto"/>
            <w:noWrap/>
            <w:hideMark/>
          </w:tcPr>
          <w:p w:rsidR="00C97D60" w:rsidRPr="002025E7" w:rsidRDefault="00C97D60" w:rsidP="009068B6">
            <w:pPr>
              <w:widowControl/>
              <w:rPr>
                <w:rFonts w:ascii="Times New Roman" w:eastAsia="標楷體" w:hAnsi="Times New Roman"/>
                <w:kern w:val="0"/>
                <w:sz w:val="22"/>
              </w:rPr>
            </w:pPr>
            <w:r w:rsidRPr="002025E7">
              <w:rPr>
                <w:rFonts w:ascii="Times New Roman" w:eastAsia="標楷體" w:hAnsi="Times New Roman"/>
                <w:kern w:val="0"/>
                <w:sz w:val="22"/>
              </w:rPr>
              <w:t>討論事項</w:t>
            </w:r>
          </w:p>
        </w:tc>
        <w:tc>
          <w:tcPr>
            <w:tcW w:w="3703" w:type="pct"/>
            <w:shd w:val="clear" w:color="auto" w:fill="auto"/>
            <w:vAlign w:val="center"/>
            <w:hideMark/>
          </w:tcPr>
          <w:p w:rsidR="00C97D60" w:rsidRPr="002025E7" w:rsidRDefault="00C97D60" w:rsidP="009068B6">
            <w:pPr>
              <w:widowControl/>
              <w:rPr>
                <w:rFonts w:ascii="Times New Roman" w:eastAsia="標楷體" w:hAnsi="Times New Roman"/>
                <w:bCs/>
                <w:kern w:val="0"/>
                <w:sz w:val="22"/>
              </w:rPr>
            </w:pPr>
            <w:r w:rsidRPr="002025E7">
              <w:rPr>
                <w:rFonts w:ascii="Times New Roman" w:eastAsia="標楷體" w:hAnsi="Times New Roman"/>
                <w:bCs/>
                <w:kern w:val="0"/>
                <w:sz w:val="22"/>
              </w:rPr>
              <w:t>修訂本公司</w:t>
            </w:r>
            <w:proofErr w:type="gramStart"/>
            <w:r w:rsidRPr="002025E7">
              <w:rPr>
                <w:rFonts w:ascii="Times New Roman" w:eastAsia="標楷體" w:hAnsi="Times New Roman"/>
                <w:bCs/>
                <w:kern w:val="0"/>
                <w:sz w:val="22"/>
              </w:rPr>
              <w:t>薪工循環核決權限表案</w:t>
            </w:r>
            <w:proofErr w:type="gramEnd"/>
          </w:p>
        </w:tc>
      </w:tr>
    </w:tbl>
    <w:p w:rsidR="00C97D60" w:rsidRPr="00C97D60" w:rsidRDefault="00C97D60">
      <w:pPr>
        <w:rPr>
          <w:rFonts w:hint="eastAsia"/>
        </w:rPr>
      </w:pPr>
    </w:p>
    <w:sectPr w:rsidR="00C97D60" w:rsidRPr="00C97D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60"/>
    <w:rsid w:val="001014F7"/>
    <w:rsid w:val="00A02A42"/>
    <w:rsid w:val="00C9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F313"/>
  <w15:chartTrackingRefBased/>
  <w15:docId w15:val="{2A5F8848-2F7C-4F3B-A441-F3FCC55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D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dc:creator>
  <cp:keywords/>
  <dc:description/>
  <cp:lastModifiedBy>koja</cp:lastModifiedBy>
  <cp:revision>2</cp:revision>
  <dcterms:created xsi:type="dcterms:W3CDTF">2024-07-15T02:51:00Z</dcterms:created>
  <dcterms:modified xsi:type="dcterms:W3CDTF">2024-07-15T02:53:00Z</dcterms:modified>
</cp:coreProperties>
</file>